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cs="Arial"/>
          <w:b/>
          <w:sz w:val="24"/>
          <w:szCs w:val="24"/>
          <w:highlight w:val="none"/>
          <w:lang w:val="en-US" w:eastAsia="zh-CN"/>
        </w:rPr>
        <w:t>12039</w:t>
      </w:r>
    </w:p>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highlight w:val="none"/>
        </w:rPr>
        <w:t>Toulouse, France, August 21 – August 25,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9.4.2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Band definition and system parameters f</w:t>
      </w:r>
      <w:bookmarkStart w:id="6" w:name="_GoBack"/>
      <w:bookmarkEnd w:id="6"/>
      <w:r>
        <w:rPr>
          <w:rFonts w:hint="eastAsia" w:ascii="Arial" w:hAnsi="Arial" w:eastAsia="宋体" w:cs="Arial"/>
          <w:b/>
          <w:sz w:val="24"/>
          <w:szCs w:val="24"/>
          <w:highlight w:val="none"/>
          <w:lang w:val="en-US" w:eastAsia="zh-CN"/>
        </w:rPr>
        <w:t>or Extended L-band</w:t>
      </w:r>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ascii="Times New Roman" w:hAnsi="Times New Roman" w:eastAsia="宋体" w:cs="Times New Roman"/>
          <w:sz w:val="20"/>
          <w:szCs w:val="20"/>
          <w:highlight w:val="none"/>
          <w:lang w:val="en-US" w:eastAsia="zh-CN"/>
        </w:rPr>
        <w:t>RP-230790</w:t>
      </w:r>
      <w:r>
        <w:rPr>
          <w:rFonts w:hint="eastAsia" w:cs="Times New Roman"/>
          <w:kern w:val="2"/>
          <w:sz w:val="21"/>
          <w:szCs w:val="22"/>
          <w:highlight w:val="none"/>
          <w:lang w:val="en-US" w:eastAsia="zh-CN" w:bidi="ar-SA"/>
        </w:rPr>
        <w:t>] on introduction of the Extended L-band was approved. Part of the objective is as follows:</w:t>
      </w:r>
    </w:p>
    <w:p>
      <w:pPr>
        <w:pStyle w:val="50"/>
        <w:numPr>
          <w:ilvl w:val="0"/>
          <w:numId w:val="3"/>
        </w:numPr>
        <w:rPr>
          <w:iCs/>
          <w:sz w:val="21"/>
          <w:szCs w:val="21"/>
        </w:rPr>
      </w:pPr>
      <w:r>
        <w:rPr>
          <w:sz w:val="21"/>
          <w:szCs w:val="21"/>
        </w:rPr>
        <w:t xml:space="preserve">Specify a new E-UTRA NTN FDD band, with initial scope for Region 1, with UE transmitting at 1668 – 1675 MHz and SAN transmitting at </w:t>
      </w:r>
      <w:bookmarkStart w:id="1" w:name="OLE_LINK1"/>
      <w:r>
        <w:rPr>
          <w:iCs/>
          <w:sz w:val="21"/>
          <w:szCs w:val="21"/>
        </w:rPr>
        <w:t>1518 – 1525 MHz</w:t>
      </w:r>
      <w:bookmarkEnd w:id="1"/>
    </w:p>
    <w:p>
      <w:pPr>
        <w:pStyle w:val="50"/>
        <w:numPr>
          <w:ilvl w:val="1"/>
          <w:numId w:val="3"/>
        </w:numPr>
        <w:rPr>
          <w:iCs/>
          <w:sz w:val="21"/>
          <w:szCs w:val="21"/>
        </w:rPr>
      </w:pPr>
      <w:r>
        <w:rPr>
          <w:iCs/>
          <w:sz w:val="21"/>
          <w:szCs w:val="21"/>
        </w:rPr>
        <w:t>NOTE: The introduction of this new NTN band through this WID has no impact on existing 3GPP terrestrial band specifications.</w:t>
      </w:r>
    </w:p>
    <w:p>
      <w:pPr>
        <w:pStyle w:val="50"/>
        <w:numPr>
          <w:ilvl w:val="0"/>
          <w:numId w:val="3"/>
        </w:numPr>
        <w:rPr>
          <w:iCs/>
          <w:sz w:val="21"/>
          <w:szCs w:val="21"/>
        </w:rPr>
      </w:pPr>
      <w:r>
        <w:rPr>
          <w:sz w:val="21"/>
          <w:szCs w:val="21"/>
        </w:rPr>
        <w:t>Support UE Categories NB1, NB2, M1;</w:t>
      </w:r>
    </w:p>
    <w:p>
      <w:pPr>
        <w:pStyle w:val="50"/>
        <w:numPr>
          <w:ilvl w:val="0"/>
          <w:numId w:val="3"/>
        </w:numPr>
        <w:rPr>
          <w:iCs/>
          <w:sz w:val="21"/>
          <w:szCs w:val="21"/>
        </w:rPr>
      </w:pPr>
      <w:r>
        <w:rPr>
          <w:sz w:val="21"/>
          <w:szCs w:val="21"/>
        </w:rPr>
        <w:t xml:space="preserve">Support UE Power class 3 (+23dBm) and Power Class 5 (+20dBm); </w:t>
      </w:r>
    </w:p>
    <w:p>
      <w:pPr>
        <w:pStyle w:val="50"/>
        <w:numPr>
          <w:ilvl w:val="0"/>
          <w:numId w:val="3"/>
        </w:numPr>
        <w:rPr>
          <w:iCs/>
          <w:sz w:val="21"/>
          <w:szCs w:val="21"/>
        </w:rPr>
      </w:pPr>
      <w:r>
        <w:rPr>
          <w:sz w:val="21"/>
          <w:szCs w:val="21"/>
        </w:rPr>
        <w:t>Introduce the corresponding SAN and UE RF core requirements;</w:t>
      </w:r>
    </w:p>
    <w:p>
      <w:pPr>
        <w:pStyle w:val="50"/>
        <w:numPr>
          <w:ilvl w:val="0"/>
          <w:numId w:val="3"/>
        </w:numPr>
        <w:rPr>
          <w:iCs/>
          <w:sz w:val="21"/>
          <w:szCs w:val="21"/>
        </w:rPr>
      </w:pPr>
      <w:r>
        <w:rPr>
          <w:sz w:val="21"/>
          <w:szCs w:val="21"/>
        </w:rPr>
        <w:t>Introduce the corresponding RRM requirements.</w:t>
      </w:r>
      <w:r>
        <w:rPr>
          <w:sz w:val="21"/>
          <w:szCs w:val="21"/>
        </w:rPr>
        <w:tab/>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share some views on </w:t>
      </w:r>
      <w:r>
        <w:rPr>
          <w:rFonts w:hint="eastAsia"/>
          <w:lang w:val="en-US" w:eastAsia="zh-CN"/>
        </w:rPr>
        <w:t>band definition and system parameters for the Extended L-band</w:t>
      </w:r>
      <w:r>
        <w:rPr>
          <w:rFonts w:hint="eastAsia"/>
          <w:lang w:val="en-US"/>
        </w:rPr>
        <w:t xml:space="preserve">.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20"/>
      <w:bookmarkStart w:id="3" w:name="OLE_LINK14"/>
      <w:bookmarkStart w:id="4" w:name="OLE_LINK13"/>
      <w:bookmarkStart w:id="5" w:name="OLE_LINK10"/>
      <w:r>
        <w:rPr>
          <w:rFonts w:hint="eastAsia" w:eastAsia="Times New Roman"/>
          <w:highlight w:val="none"/>
          <w:lang w:val="en-US" w:eastAsia="zh-CN"/>
        </w:rPr>
        <w:t xml:space="preserve"> </w:t>
      </w:r>
    </w:p>
    <w:p>
      <w:pPr>
        <w:rPr>
          <w:rFonts w:hint="eastAsia"/>
          <w:lang w:val="en-US" w:eastAsia="zh-CN"/>
        </w:rPr>
      </w:pPr>
      <w:r>
        <w:rPr>
          <w:rFonts w:hint="eastAsia"/>
          <w:lang w:val="en-US" w:eastAsia="zh-CN"/>
        </w:rPr>
        <w:t>Based on the WID objective, a new E-UTRA NTN FDD band, with initial scope for Region 1, with UE transmitting at 1668–1675 MHz and SAN transmitting at 1518–1525 MHz will be introduced. Therefore, the coexistence with bands 74/n74, 75/n75, n92 and n94 in Region 1 should be studied [2].</w:t>
      </w:r>
    </w:p>
    <w:p>
      <w:pPr>
        <w:keepNext w:val="0"/>
        <w:keepLines w:val="0"/>
        <w:pageBreakBefore w:val="0"/>
        <w:widowControl w:val="0"/>
        <w:kinsoku/>
        <w:wordWrap/>
        <w:overflowPunct/>
        <w:topLinePunct w:val="0"/>
        <w:autoSpaceDE/>
        <w:autoSpaceDN/>
        <w:bidi w:val="0"/>
        <w:adjustRightInd/>
        <w:snapToGrid/>
        <w:spacing w:before="180" w:after="60"/>
        <w:jc w:val="center"/>
        <w:textAlignment w:val="auto"/>
        <w:rPr>
          <w:rFonts w:hint="default"/>
          <w:b/>
          <w:bCs/>
          <w:lang w:val="en-US" w:eastAsia="zh-CN"/>
        </w:rPr>
      </w:pPr>
      <w:r>
        <w:rPr>
          <w:rFonts w:hint="eastAsia" w:ascii="Arial" w:hAnsi="Arial" w:eastAsia="宋体" w:cs="Times New Roman"/>
          <w:b/>
          <w:bCs/>
          <w:kern w:val="0"/>
          <w:sz w:val="20"/>
          <w:szCs w:val="20"/>
          <w:lang w:val="en-US" w:eastAsia="zh-CN" w:bidi="ar-SA"/>
        </w:rPr>
        <w:t>Table 1 Bands coexistence with Extended L-band</w:t>
      </w:r>
    </w:p>
    <w:tbl>
      <w:tblPr>
        <w:tblStyle w:val="24"/>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35"/>
              <w:keepNext w:val="0"/>
              <w:keepLines w:val="0"/>
              <w:widowControl w:val="0"/>
            </w:pPr>
            <w:r>
              <w:t>LTE/NR operating band</w:t>
            </w:r>
          </w:p>
        </w:tc>
        <w:tc>
          <w:tcPr>
            <w:tcW w:w="2715" w:type="dxa"/>
            <w:tcBorders>
              <w:top w:val="single" w:color="auto" w:sz="4" w:space="0"/>
              <w:left w:val="single" w:color="auto" w:sz="4" w:space="0"/>
              <w:bottom w:val="single" w:color="auto" w:sz="4" w:space="0"/>
              <w:right w:val="single" w:color="auto" w:sz="4" w:space="0"/>
            </w:tcBorders>
          </w:tcPr>
          <w:p>
            <w:pPr>
              <w:pStyle w:val="35"/>
              <w:keepNext w:val="0"/>
              <w:keepLines w:val="0"/>
              <w:widowControl w:val="0"/>
            </w:pPr>
            <w:r>
              <w:t xml:space="preserve">Uplink (UL) </w:t>
            </w:r>
            <w:r>
              <w:rPr>
                <w:i/>
              </w:rPr>
              <w:t>operating band</w:t>
            </w:r>
            <w:r>
              <w:br w:type="textWrapping"/>
            </w:r>
            <w:r>
              <w:t>BS receive / UE transmit</w:t>
            </w:r>
          </w:p>
          <w:p>
            <w:pPr>
              <w:pStyle w:val="35"/>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pStyle w:val="35"/>
              <w:keepNext w:val="0"/>
              <w:keepLines w:val="0"/>
              <w:widowControl w:val="0"/>
            </w:pPr>
            <w:r>
              <w:t xml:space="preserve">Downlink (DL) </w:t>
            </w:r>
            <w:r>
              <w:rPr>
                <w:i/>
              </w:rPr>
              <w:t>operating band</w:t>
            </w:r>
            <w:r>
              <w:br w:type="textWrapping"/>
            </w:r>
            <w:r>
              <w:t>BS transmit / UE receive</w:t>
            </w:r>
          </w:p>
          <w:p>
            <w:pPr>
              <w:pStyle w:val="35"/>
              <w:keepNext w:val="0"/>
              <w:keepLines w:val="0"/>
              <w:widowControl w:val="0"/>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35"/>
              <w:keepNext w:val="0"/>
              <w:keepLines w:val="0"/>
              <w:widowControl w:val="0"/>
            </w:pPr>
            <w: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shd w:val="clear" w:color="auto" w:fill="auto"/>
          </w:tcPr>
          <w:p>
            <w:pPr>
              <w:pStyle w:val="36"/>
              <w:rPr>
                <w:highlight w:val="none"/>
              </w:rPr>
            </w:pPr>
            <w:r>
              <w:rPr>
                <w:highlight w:val="none"/>
              </w:rPr>
              <w:t>74/n74</w:t>
            </w:r>
          </w:p>
        </w:tc>
        <w:tc>
          <w:tcPr>
            <w:tcW w:w="2715"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rPr>
              <w:t>1427 MHz – 1470 MHz</w:t>
            </w:r>
          </w:p>
        </w:tc>
        <w:tc>
          <w:tcPr>
            <w:tcW w:w="2953"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rPr>
              <w:t>1475 MHz – 1518 MHz</w:t>
            </w:r>
          </w:p>
        </w:tc>
        <w:tc>
          <w:tcPr>
            <w:tcW w:w="908" w:type="dxa"/>
            <w:tcBorders>
              <w:top w:val="single" w:color="auto" w:sz="4" w:space="0"/>
              <w:left w:val="single" w:color="auto" w:sz="4" w:space="0"/>
              <w:bottom w:val="nil"/>
              <w:right w:val="single" w:color="auto" w:sz="4" w:space="0"/>
            </w:tcBorders>
            <w:shd w:val="clear" w:color="auto" w:fill="auto"/>
          </w:tcPr>
          <w:p>
            <w:pPr>
              <w:pStyle w:val="36"/>
              <w:rPr>
                <w:highlight w:val="none"/>
              </w:rPr>
            </w:pPr>
            <w:r>
              <w:rPr>
                <w:highlight w:val="none"/>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shd w:val="clear" w:color="auto" w:fill="auto"/>
          </w:tcPr>
          <w:p>
            <w:pPr>
              <w:pStyle w:val="36"/>
              <w:rPr>
                <w:highlight w:val="none"/>
              </w:rPr>
            </w:pPr>
            <w:r>
              <w:rPr>
                <w:highlight w:val="none"/>
              </w:rPr>
              <w:t>75/n75</w:t>
            </w:r>
          </w:p>
        </w:tc>
        <w:tc>
          <w:tcPr>
            <w:tcW w:w="2715"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rPr>
              <w:t>N/A</w:t>
            </w:r>
          </w:p>
        </w:tc>
        <w:tc>
          <w:tcPr>
            <w:tcW w:w="2953"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rPr>
              <w:t>1432 MHz – 1517 MHz</w:t>
            </w:r>
          </w:p>
        </w:tc>
        <w:tc>
          <w:tcPr>
            <w:tcW w:w="908" w:type="dxa"/>
            <w:tcBorders>
              <w:top w:val="single" w:color="auto" w:sz="4" w:space="0"/>
              <w:left w:val="single" w:color="auto" w:sz="4" w:space="0"/>
              <w:bottom w:val="nil"/>
              <w:right w:val="single" w:color="auto" w:sz="4" w:space="0"/>
            </w:tcBorders>
            <w:shd w:val="clear" w:color="auto" w:fill="auto"/>
          </w:tcPr>
          <w:p>
            <w:pPr>
              <w:pStyle w:val="36"/>
              <w:rPr>
                <w:highlight w:val="none"/>
              </w:rPr>
            </w:pPr>
            <w:r>
              <w:rPr>
                <w:highlight w:val="none"/>
              </w:rP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lang w:eastAsia="zh-CN"/>
              </w:rPr>
            </w:pPr>
            <w:r>
              <w:rPr>
                <w:highlight w:val="none"/>
                <w:lang w:eastAsia="zh-CN"/>
              </w:rPr>
              <w:t>n92</w:t>
            </w:r>
          </w:p>
        </w:tc>
        <w:tc>
          <w:tcPr>
            <w:tcW w:w="2715"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lang w:eastAsia="zh-CN"/>
              </w:rPr>
            </w:pPr>
            <w:r>
              <w:rPr>
                <w:highlight w:val="none"/>
              </w:rPr>
              <w:t>832 MHz – 862 MHz</w:t>
            </w:r>
          </w:p>
        </w:tc>
        <w:tc>
          <w:tcPr>
            <w:tcW w:w="2953"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rPr>
              <w:t>1432 MHz – 1517 MHz</w:t>
            </w:r>
          </w:p>
        </w:tc>
        <w:tc>
          <w:tcPr>
            <w:tcW w:w="908"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lang w:eastAsia="zh-C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lang w:eastAsia="zh-CN"/>
              </w:rPr>
            </w:pPr>
            <w:r>
              <w:rPr>
                <w:highlight w:val="none"/>
                <w:lang w:eastAsia="zh-CN"/>
              </w:rPr>
              <w:t>n94</w:t>
            </w:r>
          </w:p>
        </w:tc>
        <w:tc>
          <w:tcPr>
            <w:tcW w:w="2715"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lang w:eastAsia="zh-CN"/>
              </w:rPr>
            </w:pPr>
            <w:r>
              <w:rPr>
                <w:highlight w:val="none"/>
              </w:rPr>
              <w:t>880 MHz – 915 MHz</w:t>
            </w:r>
          </w:p>
        </w:tc>
        <w:tc>
          <w:tcPr>
            <w:tcW w:w="2953"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rPr>
              <w:t>1432 MHz – 1517 MHz</w:t>
            </w:r>
          </w:p>
        </w:tc>
        <w:tc>
          <w:tcPr>
            <w:tcW w:w="908"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lang w:eastAsia="zh-CN"/>
              </w:rPr>
              <w:t>FDD</w:t>
            </w:r>
          </w:p>
        </w:tc>
      </w:tr>
    </w:tbl>
    <w:p>
      <w:pPr>
        <w:rPr>
          <w:rFonts w:hint="eastAsia" w:eastAsia="Times New Roman"/>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textAlignment w:val="auto"/>
        <w:rPr>
          <w:rFonts w:hint="default" w:eastAsia="Times New Roman"/>
          <w:highlight w:val="none"/>
          <w:lang w:val="en-US" w:eastAsia="zh-CN"/>
        </w:rPr>
      </w:pPr>
      <w:r>
        <w:rPr>
          <w:rFonts w:hint="eastAsia" w:eastAsia="Times New Roman"/>
          <w:highlight w:val="none"/>
          <w:lang w:val="en-US" w:eastAsia="zh-CN"/>
        </w:rPr>
        <w:t>The frequency band 1518-1525 MHz was allocated to the mobile satellite-service (MSS) at WRC-03 and designated for systems in the MSS (space-to-Earth) through ECC Decision ECC/DEC/(04)09 [3]. ECC Report 263 [4] notes that the IMT block ends at 1517 MHz and band 74/n74, which introduce later than ECC Report 263, may need to reserve 1MHz guard band when band 74/n74 coexists with Extended L-band or coexistence with Extended L-band may not be considered.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99"/>
              <w:numPr>
                <w:ilvl w:val="0"/>
                <w:numId w:val="0"/>
              </w:numPr>
              <w:ind w:left="680" w:hanging="680"/>
              <w:rPr>
                <w:rFonts w:hint="default" w:eastAsia="Times New Roman"/>
                <w:highlight w:val="none"/>
                <w:vertAlign w:val="baseline"/>
                <w:lang w:val="en-US" w:eastAsia="zh-CN"/>
              </w:rPr>
            </w:pPr>
            <w:r>
              <w:t>It is noted that the IMT block ends at 1517 MHz.</w:t>
            </w:r>
          </w:p>
        </w:tc>
      </w:tr>
    </w:tbl>
    <w:p>
      <w:pPr>
        <w:keepNext w:val="0"/>
        <w:keepLines w:val="0"/>
        <w:pageBreakBefore w:val="0"/>
        <w:widowControl w:val="0"/>
        <w:kinsoku/>
        <w:wordWrap/>
        <w:overflowPunct/>
        <w:topLinePunct w:val="0"/>
        <w:autoSpaceDE/>
        <w:autoSpaceDN/>
        <w:bidi w:val="0"/>
        <w:adjustRightInd/>
        <w:snapToGrid/>
        <w:spacing w:before="313" w:beforeLines="100" w:after="157" w:afterLines="50"/>
        <w:ind w:left="0" w:firstLine="0" w:firstLineChars="0"/>
        <w:textAlignment w:val="auto"/>
        <w:rPr>
          <w:rFonts w:hint="eastAsia" w:eastAsia="Times New Roman"/>
          <w:highlight w:val="none"/>
          <w:lang w:val="en-US" w:eastAsia="zh-CN"/>
        </w:rPr>
      </w:pPr>
      <w:r>
        <w:rPr>
          <w:rFonts w:hint="eastAsia" w:eastAsia="Times New Roman"/>
          <w:highlight w:val="none"/>
          <w:lang w:val="en-US" w:eastAsia="zh-CN"/>
        </w:rPr>
        <w:t>Based on the conclusion of ECC Report 263, the national administration may need to apply frequency separation and/or location based frequency allocation and/or limitations on IMT BSs to protect MSS: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r>
              <w:t>With the assumed IMT e.i.r.p. and OOBE values and current values of MES receiver blocking, the interference at 1 MHz frequency separation is high from both IMT OOBE and MES receiver blocking. However, at frequency separations of 3 MHz and 6 MHz the interference from IMT OOBE is reduced but the interference due to MES receiver overload to currently operating MESs remains high. It may be noted that currently operating MESs include those with the tuning range 1525-1559 MHz.</w:t>
            </w:r>
          </w:p>
          <w:p>
            <w:pPr>
              <w:rPr>
                <w:rFonts w:hint="default" w:eastAsia="宋体"/>
                <w:lang w:val="en-US" w:eastAsia="zh-CN"/>
              </w:rPr>
            </w:pPr>
            <w:r>
              <w:rPr>
                <w:rFonts w:hint="eastAsia"/>
                <w:lang w:val="en-US" w:eastAsia="zh-CN"/>
              </w:rPr>
              <w:t>......</w:t>
            </w:r>
          </w:p>
          <w:p>
            <w:r>
              <w:t>Based on the findings of this report, the following mitigation techniques could further improve the compatibility between IMT and MSS around 1518 MHz:</w:t>
            </w:r>
          </w:p>
          <w:p>
            <w:pPr>
              <w:rPr>
                <w:rFonts w:hint="default" w:eastAsia="宋体"/>
                <w:lang w:val="en-US" w:eastAsia="zh-CN"/>
              </w:rPr>
            </w:pPr>
            <w:r>
              <w:rPr>
                <w:rFonts w:hint="eastAsia"/>
                <w:lang w:val="en-US" w:eastAsia="zh-CN"/>
              </w:rPr>
              <w:t>......</w:t>
            </w:r>
          </w:p>
          <w:p>
            <w:pPr>
              <w:numPr>
                <w:ilvl w:val="0"/>
                <w:numId w:val="4"/>
              </w:numPr>
              <w:ind w:left="420" w:leftChars="0" w:hanging="420" w:firstLineChars="0"/>
            </w:pPr>
            <w:r>
              <w:t>Either adding location based frequency allocation to MSS to avoid the use of the lower couple of MHz and/or, implementing interference avoidance which would in addition allow for a better frequency utilisation of the lower part of the 1518-1559 MHz frequency band for MSS. The feasibility and impact of these techniques have not been assessed.</w:t>
            </w:r>
          </w:p>
          <w:p>
            <w:pPr>
              <w:rPr>
                <w:rFonts w:hint="default" w:eastAsia="宋体"/>
                <w:lang w:val="en-US" w:eastAsia="zh-CN"/>
              </w:rPr>
            </w:pPr>
            <w:r>
              <w:rPr>
                <w:rFonts w:hint="eastAsia"/>
                <w:lang w:val="en-US" w:eastAsia="zh-CN"/>
              </w:rPr>
              <w:t>......</w:t>
            </w:r>
          </w:p>
          <w:p>
            <w:r>
              <w:t>There may be a need to provide protection for seaports and airports, and hence the national administration may need to apply limitations on IMT BSs to avoid harmful interference for MESs located at seaports and airports for the frequencies at the top end of the 1492-1518 MHz frequency range.</w:t>
            </w:r>
          </w:p>
          <w:p>
            <w:pPr>
              <w:rPr>
                <w:rFonts w:hint="default"/>
                <w:lang w:val="en-US" w:eastAsia="zh-CN"/>
              </w:rPr>
            </w:pPr>
            <w:r>
              <w:rPr>
                <w:rFonts w:hint="eastAsia"/>
                <w:lang w:val="en-US" w:eastAsia="zh-CN"/>
              </w:rPr>
              <w:t>......</w:t>
            </w:r>
          </w:p>
          <w:p>
            <w:pPr>
              <w:rPr>
                <w:rFonts w:hint="default" w:eastAsia="Times New Roman"/>
                <w:highlight w:val="none"/>
                <w:vertAlign w:val="baseline"/>
                <w:lang w:val="en-US" w:eastAsia="zh-CN"/>
              </w:rPr>
            </w:pPr>
            <w:r>
              <w:t>For the special cases where administrations allow a higher e.i.r.p. for IMT BSs than used in this report, they should ensure that this does not cover an area where they want to protect MSS.</w:t>
            </w:r>
          </w:p>
        </w:tc>
      </w:tr>
    </w:tbl>
    <w:p>
      <w:pPr>
        <w:keepNext w:val="0"/>
        <w:keepLines w:val="0"/>
        <w:pageBreakBefore w:val="0"/>
        <w:widowControl w:val="0"/>
        <w:kinsoku/>
        <w:wordWrap/>
        <w:overflowPunct/>
        <w:topLinePunct w:val="0"/>
        <w:autoSpaceDE/>
        <w:autoSpaceDN/>
        <w:bidi w:val="0"/>
        <w:adjustRightInd/>
        <w:snapToGrid/>
        <w:spacing w:before="313" w:beforeLines="100" w:after="157" w:afterLines="50"/>
        <w:textAlignment w:val="auto"/>
        <w:rPr>
          <w:rFonts w:hint="default" w:eastAsia="Times New Roman"/>
          <w:highlight w:val="none"/>
          <w:lang w:val="en-US" w:eastAsia="zh-CN"/>
        </w:rPr>
      </w:pPr>
      <w:r>
        <w:rPr>
          <w:rFonts w:hint="eastAsia" w:eastAsia="Times New Roman"/>
          <w:highlight w:val="none"/>
          <w:lang w:val="en-US" w:eastAsia="zh-CN"/>
        </w:rPr>
        <w:t>Based on WRC RESOLUTION 223 (REV.WRC-19) [5], in order to conduct coexistence with MSS, ITU-R may need to guidance on the implementation of frequency arrangements for IMT deployment in the frequency band 1427-1518 MHz.</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Lines="0" w:afterLines="0"/>
              <w:ind w:firstLine="630" w:firstLineChars="300"/>
              <w:jc w:val="left"/>
              <w:rPr>
                <w:rFonts w:hint="default" w:ascii="Times New Roman" w:hAnsi="Times New Roman" w:eastAsia="TimesNewRomanPS-ItalicMT" w:cs="Times New Roman"/>
                <w:i/>
                <w:sz w:val="21"/>
                <w:szCs w:val="21"/>
              </w:rPr>
            </w:pPr>
            <w:r>
              <w:rPr>
                <w:rFonts w:hint="default" w:ascii="Times New Roman" w:hAnsi="Times New Roman" w:eastAsia="TimesNewRomanPS-ItalicMT" w:cs="Times New Roman"/>
                <w:i/>
                <w:sz w:val="21"/>
                <w:szCs w:val="21"/>
              </w:rPr>
              <w:t>invites the ITU Radiocommunication Sector</w:t>
            </w:r>
          </w:p>
          <w:p>
            <w:pPr>
              <w:spacing w:beforeLines="0" w:afterLines="0"/>
              <w:jc w:val="both"/>
              <w:rPr>
                <w:rFonts w:hint="default" w:eastAsia="Times New Roman"/>
                <w:highlight w:val="none"/>
                <w:vertAlign w:val="baseline"/>
                <w:lang w:val="en-US" w:eastAsia="zh-CN"/>
              </w:rPr>
            </w:pPr>
            <w:r>
              <w:rPr>
                <w:rFonts w:hint="default" w:ascii="Times New Roman" w:hAnsi="Times New Roman" w:eastAsia="TimesNewRomanPSMT" w:cs="Times New Roman"/>
                <w:sz w:val="21"/>
                <w:szCs w:val="21"/>
              </w:rPr>
              <w:t xml:space="preserve">1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TimesNewRomanPSMT" w:cs="Times New Roman"/>
                <w:sz w:val="21"/>
                <w:szCs w:val="21"/>
              </w:rPr>
              <w:t>to conduct compatibility studies in order to provide technical measures to ensure</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TimesNewRomanPSMT" w:cs="Times New Roman"/>
                <w:sz w:val="21"/>
                <w:szCs w:val="21"/>
              </w:rPr>
              <w:t>coexistence between the MSS in the frequency band 1518-1525 MHz and IMT in the frequency</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TimesNewRomanPSMT" w:cs="Times New Roman"/>
                <w:sz w:val="21"/>
                <w:szCs w:val="21"/>
              </w:rPr>
              <w:t>band 1492-1518 MHz, including guidance on the implementation of frequency arrangements for</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TimesNewRomanPSMT" w:cs="Times New Roman"/>
                <w:sz w:val="21"/>
                <w:szCs w:val="21"/>
              </w:rPr>
              <w:t>IMT deployment in the frequency band 1427-1518 MHz, taking into account the results of these</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TimesNewRomanPSMT" w:cs="Times New Roman"/>
                <w:sz w:val="21"/>
                <w:szCs w:val="21"/>
              </w:rPr>
              <w:t>studies;</w:t>
            </w:r>
          </w:p>
        </w:tc>
      </w:tr>
    </w:tbl>
    <w:p>
      <w:pPr>
        <w:keepNext w:val="0"/>
        <w:keepLines w:val="0"/>
        <w:pageBreakBefore w:val="0"/>
        <w:widowControl w:val="0"/>
        <w:kinsoku/>
        <w:wordWrap/>
        <w:overflowPunct/>
        <w:topLinePunct w:val="0"/>
        <w:autoSpaceDE/>
        <w:autoSpaceDN/>
        <w:bidi w:val="0"/>
        <w:adjustRightInd/>
        <w:snapToGrid/>
        <w:spacing w:before="313" w:beforeLines="100" w:after="157" w:afterLines="50"/>
        <w:textAlignment w:val="auto"/>
        <w:rPr>
          <w:rFonts w:hint="default" w:eastAsia="Times New Roman"/>
          <w:highlight w:val="none"/>
          <w:lang w:val="en-US" w:eastAsia="zh-CN"/>
        </w:rPr>
      </w:pPr>
      <w:r>
        <w:rPr>
          <w:rFonts w:hint="eastAsia" w:eastAsia="Times New Roman"/>
          <w:highlight w:val="none"/>
          <w:lang w:val="en-US" w:eastAsia="zh-CN"/>
        </w:rPr>
        <w:t>Based on Recommendation ITU-R M.1036-6 [6], administrations may need to consider additional frequency separation below 1518 MHz to address IMT-MSS coexistence in certain areas.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default" w:eastAsia="Times New Roman"/>
                <w:highlight w:val="none"/>
                <w:vertAlign w:val="baseline"/>
                <w:lang w:val="en-US" w:eastAsia="zh-CN"/>
              </w:rPr>
            </w:pPr>
            <w:r>
              <w:rPr>
                <w:rFonts w:hint="eastAsia" w:ascii="Times New Roman" w:hAnsi="Times New Roman" w:eastAsia="Times New Roman"/>
                <w:color w:val="000000"/>
                <w:sz w:val="22"/>
                <w:szCs w:val="24"/>
              </w:rPr>
              <w:t xml:space="preserve">Based on the current results of these ongoing studies, one of a number of possible measures to facilitate adjacent band compatibility, is for administrations to consider additional frequency separation below 1518 MHz at the upper part of G1, G2, or G3 (e.g. a total separation of different values up to 6 MHz). Moreover, when implementing these frequency arrangements, administrations are also encouraged to take into account the results of the compatibility studies, e.g. in order to address IMT-MSS coexistence in certain areas (around seaports and airports, etc.). </w:t>
            </w:r>
          </w:p>
        </w:tc>
      </w:tr>
    </w:tbl>
    <w:p>
      <w:pPr>
        <w:keepNext w:val="0"/>
        <w:keepLines w:val="0"/>
        <w:widowControl/>
        <w:suppressLineNumbers w:val="0"/>
        <w:spacing w:before="313" w:beforeLines="100" w:after="157" w:afterLines="50"/>
        <w:jc w:val="left"/>
        <w:rPr>
          <w:rFonts w:hint="default" w:ascii="Times New Roman" w:hAnsi="Times New Roman" w:eastAsia="宋体" w:cs="Times New Roman"/>
          <w:kern w:val="0"/>
          <w:sz w:val="21"/>
          <w:szCs w:val="21"/>
          <w:lang w:val="en-US" w:eastAsia="zh-CN" w:bidi="ar"/>
        </w:rPr>
      </w:pPr>
      <w:r>
        <w:rPr>
          <w:rFonts w:hint="default" w:ascii="Times New Roman" w:hAnsi="Times New Roman" w:cs="Times New Roman"/>
          <w:kern w:val="0"/>
          <w:sz w:val="21"/>
          <w:szCs w:val="21"/>
          <w:lang w:val="en-US" w:eastAsia="zh-CN" w:bidi="ar"/>
        </w:rPr>
        <w:t>The related timeline for Extended L-band summarizes in Figure 1.</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120130" cy="1421765"/>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5"/>
                    <a:stretch>
                      <a:fillRect/>
                    </a:stretch>
                  </pic:blipFill>
                  <pic:spPr>
                    <a:xfrm>
                      <a:off x="0" y="0"/>
                      <a:ext cx="6120130" cy="142176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180"/>
        <w:jc w:val="center"/>
        <w:textAlignment w:val="auto"/>
        <w:rPr>
          <w:rFonts w:hint="default" w:eastAsia="Times New Roman"/>
          <w:b/>
          <w:bCs/>
          <w:highlight w:val="none"/>
          <w:lang w:val="en-US" w:eastAsia="zh-CN"/>
        </w:rPr>
      </w:pPr>
      <w:r>
        <w:rPr>
          <w:rFonts w:hint="eastAsia" w:eastAsia="Times New Roman"/>
          <w:b/>
          <w:bCs/>
          <w:highlight w:val="none"/>
          <w:lang w:val="en-US" w:eastAsia="zh-CN"/>
        </w:rPr>
        <w:t>Figure 1 Related timeline for Extended L-band</w:t>
      </w:r>
    </w:p>
    <w:p>
      <w:pPr>
        <w:keepNext w:val="0"/>
        <w:keepLines w:val="0"/>
        <w:pageBreakBefore w:val="0"/>
        <w:widowControl w:val="0"/>
        <w:kinsoku/>
        <w:wordWrap/>
        <w:overflowPunct/>
        <w:topLinePunct w:val="0"/>
        <w:autoSpaceDE/>
        <w:autoSpaceDN/>
        <w:bidi w:val="0"/>
        <w:adjustRightInd/>
        <w:snapToGrid/>
        <w:spacing w:before="157" w:beforeLines="50" w:after="180"/>
        <w:textAlignment w:val="auto"/>
        <w:rPr>
          <w:rFonts w:hint="eastAsia" w:eastAsia="Times New Roman"/>
          <w:highlight w:val="none"/>
          <w:lang w:val="en-US" w:eastAsia="zh-CN"/>
        </w:rPr>
      </w:pPr>
      <w:r>
        <w:rPr>
          <w:rFonts w:hint="eastAsia" w:eastAsia="Times New Roman"/>
          <w:highlight w:val="none"/>
          <w:lang w:val="en-US" w:eastAsia="zh-CN"/>
        </w:rPr>
        <w:t>Based on the ECC report 263, in order to address the interference between IMT and MSS, frequency separation needs to be introduced for Extended L-band. However, there is only 7 MHz DL bandwidth for Extended L-band.  If 3 MHz guard band between the IMT and MSS band allocated in the DL bandwidth of Extended L-band, only 4 MHz can be used in Extended L-band. For bands 74/n74, 75/n75, n92 and n94 in Region 1, at least 43 MHz of DL bandwidth can be used and at least 40 MHz of DL bandwidth can be used even though all the 3 MHz guard band allocates in the DL bandwidth of bands 74/n74, 75/n75, n92 and n94.</w:t>
      </w: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eastAsia="Times New Roman"/>
          <w:highlight w:val="none"/>
          <w:lang w:val="en-US" w:eastAsia="zh-CN"/>
        </w:rPr>
      </w:pPr>
      <w:r>
        <w:rPr>
          <w:rFonts w:hint="eastAsia" w:eastAsia="Times New Roman"/>
          <w:highlight w:val="none"/>
          <w:lang w:val="en-US" w:eastAsia="zh-CN"/>
        </w:rPr>
        <w:t>In addition, combined with the Recommendation ITU-R M.1036-6, the national administration, NTN and TN operators can coordinate the 3 MHz guard band deployments and no RF requirement needs to be introduced, wherein location based frequency allocation can be used to reserve 3 MHz guard band between ITU and MSS band. In other words, the DL frequency range of Extended L-band in line with the WID is 1518–1525 MHz and the 3 MHz guard band deployments will be an implementation issue which can be coordinated by national administration, NTN and TN operators.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Therefore, the extended L-band can be specified as shown in Table 2.</w:t>
      </w:r>
    </w:p>
    <w:p>
      <w:pPr>
        <w:pStyle w:val="45"/>
      </w:pPr>
      <w:r>
        <w:t xml:space="preserve">Table </w:t>
      </w:r>
      <w:r>
        <w:rPr>
          <w:rFonts w:hint="eastAsia"/>
          <w:lang w:val="en-US" w:eastAsia="zh-CN"/>
        </w:rPr>
        <w:t>2</w:t>
      </w:r>
      <w:r>
        <w:t>: E-UTRA operating bands for satellite access</w:t>
      </w:r>
    </w:p>
    <w:tbl>
      <w:tblPr>
        <w:tblStyle w:val="24"/>
        <w:tblW w:w="8221" w:type="dxa"/>
        <w:jc w:val="center"/>
        <w:tblLayout w:type="autofit"/>
        <w:tblCellMar>
          <w:top w:w="0" w:type="dxa"/>
          <w:left w:w="108" w:type="dxa"/>
          <w:bottom w:w="0" w:type="dxa"/>
          <w:right w:w="108" w:type="dxa"/>
        </w:tblCellMar>
      </w:tblPr>
      <w:tblGrid>
        <w:gridCol w:w="1508"/>
        <w:gridCol w:w="1227"/>
        <w:gridCol w:w="517"/>
        <w:gridCol w:w="1259"/>
        <w:gridCol w:w="1274"/>
        <w:gridCol w:w="510"/>
        <w:gridCol w:w="1060"/>
        <w:gridCol w:w="86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35"/>
              <w:rPr>
                <w:rFonts w:cs="Arial"/>
              </w:rPr>
            </w:pPr>
            <w:r>
              <w:rPr>
                <w:rFonts w:cs="Arial"/>
              </w:rPr>
              <w:t>E</w:t>
            </w:r>
            <w:r>
              <w:rPr>
                <w:rFonts w:cs="Arial"/>
              </w:rPr>
              <w:noBreakHyphen/>
            </w:r>
            <w:r>
              <w:rPr>
                <w:rFonts w:cs="Arial"/>
              </w:rPr>
              <w:t>UTRA Operating Band</w:t>
            </w: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866" w:type="dxa"/>
            <w:vMerge w:val="restart"/>
            <w:tcBorders>
              <w:top w:val="single" w:color="auto" w:sz="4" w:space="0"/>
              <w:left w:val="single" w:color="auto" w:sz="4" w:space="0"/>
              <w:right w:val="single" w:color="auto" w:sz="4" w:space="0"/>
            </w:tcBorders>
          </w:tcPr>
          <w:p>
            <w:pPr>
              <w:pStyle w:val="35"/>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35"/>
              <w:rPr>
                <w:rFonts w:cs="Arial"/>
              </w:rPr>
            </w:pP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866" w:type="dxa"/>
            <w:vMerge w:val="continue"/>
            <w:tcBorders>
              <w:left w:val="single" w:color="auto" w:sz="4" w:space="0"/>
              <w:bottom w:val="single" w:color="auto" w:sz="4" w:space="0"/>
              <w:right w:val="single" w:color="auto" w:sz="4" w:space="0"/>
            </w:tcBorders>
          </w:tcPr>
          <w:p>
            <w:pPr>
              <w:pStyle w:val="36"/>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36"/>
              <w:rPr>
                <w:rFonts w:hint="default" w:eastAsia="宋体" w:cs="Arial"/>
                <w:lang w:val="en-US" w:eastAsia="zh-CN"/>
              </w:rPr>
            </w:pPr>
            <w:r>
              <w:rPr>
                <w:rFonts w:hint="eastAsia" w:eastAsia="宋体" w:cs="Arial"/>
                <w:lang w:val="en-US" w:eastAsia="zh-CN"/>
              </w:rPr>
              <w:t>[</w:t>
            </w:r>
            <w:r>
              <w:rPr>
                <w:rFonts w:cs="Arial"/>
              </w:rPr>
              <w:t>25</w:t>
            </w:r>
            <w:r>
              <w:rPr>
                <w:rFonts w:hint="eastAsia" w:eastAsia="宋体" w:cs="Arial"/>
                <w:lang w:val="en-US" w:eastAsia="zh-CN"/>
              </w:rPr>
              <w:t>3]</w:t>
            </w:r>
          </w:p>
        </w:tc>
        <w:tc>
          <w:tcPr>
            <w:tcW w:w="1227" w:type="dxa"/>
            <w:tcBorders>
              <w:top w:val="single" w:color="auto" w:sz="4" w:space="0"/>
              <w:left w:val="single" w:color="auto" w:sz="4" w:space="0"/>
              <w:bottom w:val="single" w:color="auto" w:sz="4" w:space="0"/>
              <w:right w:val="nil"/>
            </w:tcBorders>
          </w:tcPr>
          <w:p>
            <w:pPr>
              <w:pStyle w:val="95"/>
              <w:wordWrap w:val="0"/>
              <w:rPr>
                <w:rFonts w:cs="Arial"/>
                <w:lang w:eastAsia="zh-CN"/>
              </w:rPr>
            </w:pPr>
            <w:r>
              <w:rPr>
                <w:rFonts w:hint="eastAsia" w:cs="Arial"/>
                <w:lang w:val="en-US" w:eastAsia="zh-CN"/>
              </w:rPr>
              <w:t>1668</w:t>
            </w:r>
            <w:r>
              <w:rPr>
                <w:rFonts w:cs="Arial"/>
                <w:lang w:eastAsia="zh-CN"/>
              </w:rPr>
              <w:t xml:space="preserve"> MHz</w:t>
            </w:r>
          </w:p>
        </w:tc>
        <w:tc>
          <w:tcPr>
            <w:tcW w:w="517" w:type="dxa"/>
            <w:tcBorders>
              <w:top w:val="single" w:color="auto" w:sz="4" w:space="0"/>
              <w:left w:val="nil"/>
              <w:bottom w:val="single" w:color="auto" w:sz="4" w:space="0"/>
              <w:right w:val="nil"/>
            </w:tcBorders>
          </w:tcPr>
          <w:p>
            <w:pPr>
              <w:pStyle w:val="36"/>
              <w:rPr>
                <w:rFonts w:cs="Arial"/>
                <w:lang w:eastAsia="zh-CN"/>
              </w:rPr>
            </w:pPr>
            <w:r>
              <w:rPr>
                <w:rFonts w:cs="Arial"/>
                <w:lang w:eastAsia="zh-CN"/>
              </w:rPr>
              <w:t>–</w:t>
            </w:r>
          </w:p>
        </w:tc>
        <w:tc>
          <w:tcPr>
            <w:tcW w:w="1259" w:type="dxa"/>
            <w:tcBorders>
              <w:top w:val="single" w:color="auto" w:sz="4" w:space="0"/>
              <w:left w:val="nil"/>
              <w:bottom w:val="single" w:color="auto" w:sz="4" w:space="0"/>
              <w:right w:val="single" w:color="auto" w:sz="4" w:space="0"/>
            </w:tcBorders>
          </w:tcPr>
          <w:p>
            <w:pPr>
              <w:pStyle w:val="37"/>
              <w:rPr>
                <w:rFonts w:cs="Arial"/>
                <w:lang w:eastAsia="zh-CN"/>
              </w:rPr>
            </w:pPr>
            <w:r>
              <w:rPr>
                <w:rFonts w:hint="eastAsia" w:cs="Arial"/>
                <w:lang w:val="en-US" w:eastAsia="zh-CN"/>
              </w:rPr>
              <w:t>1675</w:t>
            </w:r>
            <w:r>
              <w:rPr>
                <w:rFonts w:cs="Arial"/>
                <w:lang w:eastAsia="zh-CN"/>
              </w:rPr>
              <w:t xml:space="preserve"> MHz</w:t>
            </w:r>
          </w:p>
        </w:tc>
        <w:tc>
          <w:tcPr>
            <w:tcW w:w="1274" w:type="dxa"/>
            <w:tcBorders>
              <w:top w:val="single" w:color="auto" w:sz="4" w:space="0"/>
              <w:left w:val="nil"/>
              <w:bottom w:val="single" w:color="auto" w:sz="4" w:space="0"/>
              <w:right w:val="nil"/>
            </w:tcBorders>
          </w:tcPr>
          <w:p>
            <w:pPr>
              <w:pStyle w:val="95"/>
            </w:pPr>
            <w:r>
              <w:rPr>
                <w:rFonts w:hint="eastAsia"/>
                <w:lang w:val="en-US" w:eastAsia="zh-CN"/>
              </w:rPr>
              <w:t>1518</w:t>
            </w:r>
            <w:r>
              <w:t xml:space="preserve"> MHz</w:t>
            </w:r>
          </w:p>
        </w:tc>
        <w:tc>
          <w:tcPr>
            <w:tcW w:w="510" w:type="dxa"/>
            <w:tcBorders>
              <w:top w:val="single" w:color="auto" w:sz="4" w:space="0"/>
              <w:left w:val="nil"/>
              <w:bottom w:val="single" w:color="auto" w:sz="4" w:space="0"/>
              <w:right w:val="nil"/>
            </w:tcBorders>
          </w:tcPr>
          <w:p>
            <w:pPr>
              <w:pStyle w:val="36"/>
            </w:pPr>
            <w:r>
              <w:t>–</w:t>
            </w:r>
          </w:p>
        </w:tc>
        <w:tc>
          <w:tcPr>
            <w:tcW w:w="1060" w:type="dxa"/>
            <w:tcBorders>
              <w:top w:val="single" w:color="auto" w:sz="4" w:space="0"/>
              <w:left w:val="nil"/>
              <w:bottom w:val="single" w:color="auto" w:sz="4" w:space="0"/>
              <w:right w:val="single" w:color="auto" w:sz="4" w:space="0"/>
            </w:tcBorders>
          </w:tcPr>
          <w:p>
            <w:pPr>
              <w:pStyle w:val="37"/>
            </w:pPr>
            <w:r>
              <w:rPr>
                <w:rFonts w:hint="eastAsia"/>
                <w:lang w:val="en-US" w:eastAsia="zh-CN"/>
              </w:rPr>
              <w:t>1525</w:t>
            </w:r>
            <w:r>
              <w:t xml:space="preserve"> MHz</w:t>
            </w:r>
          </w:p>
        </w:tc>
        <w:tc>
          <w:tcPr>
            <w:tcW w:w="866" w:type="dxa"/>
            <w:tcBorders>
              <w:top w:val="single" w:color="auto" w:sz="4" w:space="0"/>
              <w:left w:val="single" w:color="auto" w:sz="4" w:space="0"/>
              <w:bottom w:val="single" w:color="auto" w:sz="4" w:space="0"/>
              <w:right w:val="single" w:color="auto" w:sz="4" w:space="0"/>
            </w:tcBorders>
          </w:tcPr>
          <w:p>
            <w:pPr>
              <w:pStyle w:val="36"/>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8221" w:type="dxa"/>
            <w:gridSpan w:val="8"/>
            <w:tcBorders>
              <w:top w:val="single" w:color="auto" w:sz="4" w:space="0"/>
              <w:left w:val="single" w:color="auto" w:sz="4" w:space="0"/>
              <w:bottom w:val="single" w:color="auto" w:sz="4" w:space="0"/>
              <w:right w:val="single" w:color="auto" w:sz="4" w:space="0"/>
            </w:tcBorders>
          </w:tcPr>
          <w:p>
            <w:pPr>
              <w:pStyle w:val="48"/>
            </w:pPr>
            <w:r>
              <w:t>NOTE:</w:t>
            </w:r>
            <w:r>
              <w:tab/>
            </w:r>
            <w:r>
              <w:t>Satellite bands are numbered in descending order from 256</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Extended L-band should be defined as Table 2.</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band definition and system parameters for the Extended L-band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Extended L-band should be defined as Table 2.</w:t>
      </w:r>
    </w:p>
    <w:p>
      <w:pPr>
        <w:pStyle w:val="45"/>
      </w:pPr>
      <w:r>
        <w:t xml:space="preserve">Table </w:t>
      </w:r>
      <w:r>
        <w:rPr>
          <w:rFonts w:hint="eastAsia"/>
          <w:lang w:val="en-US" w:eastAsia="zh-CN"/>
        </w:rPr>
        <w:t>2</w:t>
      </w:r>
      <w:r>
        <w:t>: E-UTRA operating bands for satellite access</w:t>
      </w:r>
    </w:p>
    <w:tbl>
      <w:tblPr>
        <w:tblStyle w:val="24"/>
        <w:tblW w:w="8221" w:type="dxa"/>
        <w:jc w:val="center"/>
        <w:tblLayout w:type="autofit"/>
        <w:tblCellMar>
          <w:top w:w="0" w:type="dxa"/>
          <w:left w:w="108" w:type="dxa"/>
          <w:bottom w:w="0" w:type="dxa"/>
          <w:right w:w="108" w:type="dxa"/>
        </w:tblCellMar>
      </w:tblPr>
      <w:tblGrid>
        <w:gridCol w:w="1508"/>
        <w:gridCol w:w="1227"/>
        <w:gridCol w:w="517"/>
        <w:gridCol w:w="1259"/>
        <w:gridCol w:w="1274"/>
        <w:gridCol w:w="510"/>
        <w:gridCol w:w="1060"/>
        <w:gridCol w:w="86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35"/>
              <w:rPr>
                <w:rFonts w:cs="Arial"/>
              </w:rPr>
            </w:pPr>
            <w:r>
              <w:rPr>
                <w:rFonts w:cs="Arial"/>
              </w:rPr>
              <w:t>E</w:t>
            </w:r>
            <w:r>
              <w:rPr>
                <w:rFonts w:cs="Arial"/>
              </w:rPr>
              <w:noBreakHyphen/>
            </w:r>
            <w:r>
              <w:rPr>
                <w:rFonts w:cs="Arial"/>
              </w:rPr>
              <w:t>UTRA Operating Band</w:t>
            </w: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866" w:type="dxa"/>
            <w:vMerge w:val="restart"/>
            <w:tcBorders>
              <w:top w:val="single" w:color="auto" w:sz="4" w:space="0"/>
              <w:left w:val="single" w:color="auto" w:sz="4" w:space="0"/>
              <w:right w:val="single" w:color="auto" w:sz="4" w:space="0"/>
            </w:tcBorders>
          </w:tcPr>
          <w:p>
            <w:pPr>
              <w:pStyle w:val="35"/>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35"/>
              <w:rPr>
                <w:rFonts w:cs="Arial"/>
              </w:rPr>
            </w:pP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866" w:type="dxa"/>
            <w:vMerge w:val="continue"/>
            <w:tcBorders>
              <w:left w:val="single" w:color="auto" w:sz="4" w:space="0"/>
              <w:bottom w:val="single" w:color="auto" w:sz="4" w:space="0"/>
              <w:right w:val="single" w:color="auto" w:sz="4" w:space="0"/>
            </w:tcBorders>
          </w:tcPr>
          <w:p>
            <w:pPr>
              <w:pStyle w:val="36"/>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36"/>
              <w:rPr>
                <w:rFonts w:hint="default" w:eastAsia="宋体" w:cs="Arial"/>
                <w:lang w:val="en-US" w:eastAsia="zh-CN"/>
              </w:rPr>
            </w:pPr>
            <w:r>
              <w:rPr>
                <w:rFonts w:hint="eastAsia" w:eastAsia="宋体" w:cs="Arial"/>
                <w:lang w:val="en-US" w:eastAsia="zh-CN"/>
              </w:rPr>
              <w:t>[</w:t>
            </w:r>
            <w:r>
              <w:rPr>
                <w:rFonts w:cs="Arial"/>
              </w:rPr>
              <w:t>25</w:t>
            </w:r>
            <w:r>
              <w:rPr>
                <w:rFonts w:hint="eastAsia" w:eastAsia="宋体" w:cs="Arial"/>
                <w:lang w:val="en-US" w:eastAsia="zh-CN"/>
              </w:rPr>
              <w:t>3]</w:t>
            </w:r>
          </w:p>
        </w:tc>
        <w:tc>
          <w:tcPr>
            <w:tcW w:w="1227" w:type="dxa"/>
            <w:tcBorders>
              <w:top w:val="single" w:color="auto" w:sz="4" w:space="0"/>
              <w:left w:val="single" w:color="auto" w:sz="4" w:space="0"/>
              <w:bottom w:val="single" w:color="auto" w:sz="4" w:space="0"/>
              <w:right w:val="nil"/>
            </w:tcBorders>
          </w:tcPr>
          <w:p>
            <w:pPr>
              <w:pStyle w:val="95"/>
              <w:wordWrap w:val="0"/>
              <w:rPr>
                <w:rFonts w:cs="Arial"/>
                <w:lang w:eastAsia="zh-CN"/>
              </w:rPr>
            </w:pPr>
            <w:r>
              <w:rPr>
                <w:rFonts w:hint="eastAsia" w:cs="Arial"/>
                <w:lang w:val="en-US" w:eastAsia="zh-CN"/>
              </w:rPr>
              <w:t>1668</w:t>
            </w:r>
            <w:r>
              <w:rPr>
                <w:rFonts w:cs="Arial"/>
                <w:lang w:eastAsia="zh-CN"/>
              </w:rPr>
              <w:t xml:space="preserve"> MHz</w:t>
            </w:r>
          </w:p>
        </w:tc>
        <w:tc>
          <w:tcPr>
            <w:tcW w:w="517" w:type="dxa"/>
            <w:tcBorders>
              <w:top w:val="single" w:color="auto" w:sz="4" w:space="0"/>
              <w:left w:val="nil"/>
              <w:bottom w:val="single" w:color="auto" w:sz="4" w:space="0"/>
              <w:right w:val="nil"/>
            </w:tcBorders>
          </w:tcPr>
          <w:p>
            <w:pPr>
              <w:pStyle w:val="36"/>
              <w:rPr>
                <w:rFonts w:cs="Arial"/>
                <w:lang w:eastAsia="zh-CN"/>
              </w:rPr>
            </w:pPr>
            <w:r>
              <w:rPr>
                <w:rFonts w:cs="Arial"/>
                <w:lang w:eastAsia="zh-CN"/>
              </w:rPr>
              <w:t>–</w:t>
            </w:r>
          </w:p>
        </w:tc>
        <w:tc>
          <w:tcPr>
            <w:tcW w:w="1259" w:type="dxa"/>
            <w:tcBorders>
              <w:top w:val="single" w:color="auto" w:sz="4" w:space="0"/>
              <w:left w:val="nil"/>
              <w:bottom w:val="single" w:color="auto" w:sz="4" w:space="0"/>
              <w:right w:val="single" w:color="auto" w:sz="4" w:space="0"/>
            </w:tcBorders>
          </w:tcPr>
          <w:p>
            <w:pPr>
              <w:pStyle w:val="37"/>
              <w:rPr>
                <w:rFonts w:cs="Arial"/>
                <w:lang w:eastAsia="zh-CN"/>
              </w:rPr>
            </w:pPr>
            <w:r>
              <w:rPr>
                <w:rFonts w:hint="eastAsia" w:cs="Arial"/>
                <w:lang w:val="en-US" w:eastAsia="zh-CN"/>
              </w:rPr>
              <w:t>1675</w:t>
            </w:r>
            <w:r>
              <w:rPr>
                <w:rFonts w:cs="Arial"/>
                <w:lang w:eastAsia="zh-CN"/>
              </w:rPr>
              <w:t xml:space="preserve"> MHz</w:t>
            </w:r>
          </w:p>
        </w:tc>
        <w:tc>
          <w:tcPr>
            <w:tcW w:w="1274" w:type="dxa"/>
            <w:tcBorders>
              <w:top w:val="single" w:color="auto" w:sz="4" w:space="0"/>
              <w:left w:val="nil"/>
              <w:bottom w:val="single" w:color="auto" w:sz="4" w:space="0"/>
              <w:right w:val="nil"/>
            </w:tcBorders>
          </w:tcPr>
          <w:p>
            <w:pPr>
              <w:pStyle w:val="95"/>
            </w:pPr>
            <w:r>
              <w:rPr>
                <w:rFonts w:hint="eastAsia"/>
                <w:lang w:val="en-US" w:eastAsia="zh-CN"/>
              </w:rPr>
              <w:t>1518</w:t>
            </w:r>
            <w:r>
              <w:t xml:space="preserve"> MHz</w:t>
            </w:r>
          </w:p>
        </w:tc>
        <w:tc>
          <w:tcPr>
            <w:tcW w:w="510" w:type="dxa"/>
            <w:tcBorders>
              <w:top w:val="single" w:color="auto" w:sz="4" w:space="0"/>
              <w:left w:val="nil"/>
              <w:bottom w:val="single" w:color="auto" w:sz="4" w:space="0"/>
              <w:right w:val="nil"/>
            </w:tcBorders>
          </w:tcPr>
          <w:p>
            <w:pPr>
              <w:pStyle w:val="36"/>
            </w:pPr>
            <w:r>
              <w:t>–</w:t>
            </w:r>
          </w:p>
        </w:tc>
        <w:tc>
          <w:tcPr>
            <w:tcW w:w="1060" w:type="dxa"/>
            <w:tcBorders>
              <w:top w:val="single" w:color="auto" w:sz="4" w:space="0"/>
              <w:left w:val="nil"/>
              <w:bottom w:val="single" w:color="auto" w:sz="4" w:space="0"/>
              <w:right w:val="single" w:color="auto" w:sz="4" w:space="0"/>
            </w:tcBorders>
          </w:tcPr>
          <w:p>
            <w:pPr>
              <w:pStyle w:val="37"/>
            </w:pPr>
            <w:r>
              <w:rPr>
                <w:rFonts w:hint="eastAsia"/>
                <w:lang w:val="en-US" w:eastAsia="zh-CN"/>
              </w:rPr>
              <w:t>1525</w:t>
            </w:r>
            <w:r>
              <w:t xml:space="preserve"> MHz</w:t>
            </w:r>
          </w:p>
        </w:tc>
        <w:tc>
          <w:tcPr>
            <w:tcW w:w="866" w:type="dxa"/>
            <w:tcBorders>
              <w:top w:val="single" w:color="auto" w:sz="4" w:space="0"/>
              <w:left w:val="single" w:color="auto" w:sz="4" w:space="0"/>
              <w:bottom w:val="single" w:color="auto" w:sz="4" w:space="0"/>
              <w:right w:val="single" w:color="auto" w:sz="4" w:space="0"/>
            </w:tcBorders>
          </w:tcPr>
          <w:p>
            <w:pPr>
              <w:pStyle w:val="36"/>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8221" w:type="dxa"/>
            <w:gridSpan w:val="8"/>
            <w:tcBorders>
              <w:top w:val="single" w:color="auto" w:sz="4" w:space="0"/>
              <w:left w:val="single" w:color="auto" w:sz="4" w:space="0"/>
              <w:bottom w:val="single" w:color="auto" w:sz="4" w:space="0"/>
              <w:right w:val="single" w:color="auto" w:sz="4" w:space="0"/>
            </w:tcBorders>
          </w:tcPr>
          <w:p>
            <w:pPr>
              <w:pStyle w:val="48"/>
            </w:pPr>
            <w:r>
              <w:t>NOTE:</w:t>
            </w:r>
            <w:r>
              <w:tab/>
            </w:r>
            <w:r>
              <w:t>Satellite bands are numbered in descending order from 256</w:t>
            </w:r>
          </w:p>
        </w:tc>
      </w:tr>
    </w:tbl>
    <w:p>
      <w:pPr>
        <w:pStyle w:val="55"/>
        <w:tabs>
          <w:tab w:val="left" w:pos="567"/>
          <w:tab w:val="clear" w:pos="1985"/>
        </w:tabs>
        <w:adjustRightInd w:val="0"/>
        <w:ind w:left="510" w:hanging="510"/>
        <w:rPr>
          <w:highlight w:val="none"/>
        </w:rPr>
      </w:pPr>
      <w:r>
        <w:rPr>
          <w:highlight w:val="none"/>
        </w:rPr>
        <w:t>References</w:t>
      </w:r>
    </w:p>
    <w:p>
      <w:pPr>
        <w:pStyle w:val="53"/>
        <w:numPr>
          <w:ilvl w:val="0"/>
          <w:numId w:val="5"/>
        </w:numPr>
      </w:pPr>
      <w:r>
        <w:rPr>
          <w:rFonts w:hint="eastAsia" w:ascii="Times New Roman" w:hAnsi="Times New Roman" w:eastAsia="宋体" w:cs="Times New Roman"/>
          <w:sz w:val="20"/>
          <w:szCs w:val="20"/>
          <w:highlight w:val="none"/>
          <w:lang w:val="en-US" w:eastAsia="zh-CN"/>
        </w:rPr>
        <w:t>RP-23079</w:t>
      </w:r>
      <w:r>
        <w:rPr>
          <w:rFonts w:hint="eastAsia" w:cs="Times New Roman"/>
          <w:sz w:val="20"/>
          <w:szCs w:val="20"/>
          <w:highlight w:val="none"/>
          <w:lang w:val="en-US" w:eastAsia="zh-CN"/>
        </w:rPr>
        <w:t xml:space="preserve">0,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on Introduction of the Extended L-band (UL 1668-1675, DL 1518-1525) for IoT NTN”, Inmarsat</w:t>
      </w:r>
    </w:p>
    <w:p>
      <w:pPr>
        <w:pStyle w:val="53"/>
        <w:numPr>
          <w:ilvl w:val="0"/>
          <w:numId w:val="5"/>
        </w:numPr>
      </w:pPr>
      <w:r>
        <w:rPr>
          <w:rFonts w:hint="eastAsia"/>
          <w:lang w:val="en-US" w:eastAsia="zh-CN"/>
        </w:rPr>
        <w:t xml:space="preserve">R4-2305825, </w:t>
      </w:r>
      <w:r>
        <w:rPr>
          <w:rFonts w:hint="default" w:cs="Times New Roman"/>
          <w:sz w:val="20"/>
          <w:szCs w:val="20"/>
          <w:highlight w:val="none"/>
          <w:lang w:val="en-US" w:eastAsia="zh-CN"/>
        </w:rPr>
        <w:t>“</w:t>
      </w:r>
      <w:r>
        <w:rPr>
          <w:rFonts w:hint="eastAsia"/>
          <w:lang w:val="en-US" w:eastAsia="zh-CN"/>
        </w:rPr>
        <w:t>Extended L band for LTE NB-IoT</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Qualcomm</w:t>
      </w:r>
    </w:p>
    <w:p>
      <w:pPr>
        <w:pStyle w:val="53"/>
        <w:numPr>
          <w:ilvl w:val="0"/>
          <w:numId w:val="5"/>
        </w:numPr>
      </w:pPr>
      <w:r>
        <w:rPr>
          <w:rFonts w:hint="eastAsia"/>
        </w:rPr>
        <w:t>ECC Decision (04)09 'The designation of the bands 1518-1525 MHz and 1670-1675 MHz for systems in the Mobile-Satellite Service '</w:t>
      </w:r>
    </w:p>
    <w:p>
      <w:pPr>
        <w:pStyle w:val="53"/>
        <w:numPr>
          <w:ilvl w:val="0"/>
          <w:numId w:val="5"/>
        </w:numPr>
      </w:pPr>
      <w:r>
        <w:rPr>
          <w:lang w:val="en-US" w:eastAsia="zh-CN"/>
        </w:rPr>
        <w:t xml:space="preserve">ECC Report 263, “Adjacent band compatibility studies between IMT operating in the frequency band 1492-1518 MHz and the MSS operating in the frequency band 1518-1552 MHz,” Approved 03 March 2017.  </w:t>
      </w:r>
    </w:p>
    <w:p>
      <w:pPr>
        <w:pStyle w:val="53"/>
        <w:numPr>
          <w:ilvl w:val="0"/>
          <w:numId w:val="5"/>
        </w:numPr>
      </w:pPr>
      <w:r>
        <w:rPr>
          <w:rFonts w:hint="eastAsia"/>
        </w:rPr>
        <w:t>WRC RESOLUTION 223 (REV.WRC-19), Additional frequency bands identified for International Mobile Telecommunications</w:t>
      </w:r>
    </w:p>
    <w:p>
      <w:pPr>
        <w:pStyle w:val="53"/>
        <w:numPr>
          <w:ilvl w:val="0"/>
          <w:numId w:val="5"/>
        </w:numPr>
      </w:pPr>
      <w:r>
        <w:rPr>
          <w:rFonts w:hint="eastAsia"/>
          <w:lang w:val="en-US" w:eastAsia="zh-CN"/>
        </w:rPr>
        <w:t>I</w:t>
      </w:r>
      <w:r>
        <w:rPr>
          <w:rFonts w:hint="eastAsia"/>
        </w:rPr>
        <w:t>TU-R Recommendation M.1036-6</w:t>
      </w:r>
      <w:r>
        <w:rPr>
          <w:rFonts w:hint="eastAsia"/>
          <w:lang w:val="en-US" w:eastAsia="zh-CN"/>
        </w:rPr>
        <w:t xml:space="preserve">, </w:t>
      </w:r>
      <w:r>
        <w:rPr>
          <w:rFonts w:hint="eastAsia"/>
        </w:rPr>
        <w:t>Frequency arrangements for implementation of the terrestrial</w:t>
      </w:r>
      <w:r>
        <w:rPr>
          <w:rFonts w:hint="eastAsia"/>
          <w:lang w:val="en-US" w:eastAsia="zh-CN"/>
        </w:rPr>
        <w:t xml:space="preserve"> </w:t>
      </w:r>
      <w:r>
        <w:rPr>
          <w:rFonts w:hint="eastAsia"/>
        </w:rPr>
        <w:t>component of International Mobile Telecommunications in the bands identified for IMT in the Radio Regulations</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imesNewRomanPS-ItalicMT">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D3CD0F"/>
    <w:multiLevelType w:val="singleLevel"/>
    <w:tmpl w:val="91D3CD0F"/>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FEB4A7C"/>
    <w:multiLevelType w:val="multilevel"/>
    <w:tmpl w:val="0FEB4A7C"/>
    <w:lvl w:ilvl="0" w:tentative="0">
      <w:start w:val="1"/>
      <w:numFmt w:val="bullet"/>
      <w:pStyle w:val="100"/>
      <w:lvlText w:val=""/>
      <w:lvlJc w:val="left"/>
      <w:pPr>
        <w:ind w:left="360" w:hanging="360"/>
      </w:pPr>
      <w:rPr>
        <w:rFonts w:hint="default" w:ascii="Wingdings" w:hAnsi="Wingdings"/>
        <w:color w:val="D2232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ACA5D94"/>
    <w:multiLevelType w:val="multilevel"/>
    <w:tmpl w:val="1ACA5D94"/>
    <w:lvl w:ilvl="0" w:tentative="0">
      <w:start w:val="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038EC"/>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1D3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ED5080"/>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A66A9C"/>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8421E"/>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9D17AF"/>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12BF3"/>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7B2532"/>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5F2394"/>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A96C80"/>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9C3444"/>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B6F1A"/>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3507D"/>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95C06"/>
    <w:rsid w:val="3D0B7E6F"/>
    <w:rsid w:val="3D0D32BA"/>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53B39"/>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4392B"/>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624B7F"/>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225519"/>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35F37"/>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A18A9"/>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9E77FE"/>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92076"/>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41F8A"/>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4F043B"/>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9259E2"/>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6EED"/>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AF231D"/>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65227"/>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526E6"/>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04D45"/>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D41952"/>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4F28A3"/>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32185"/>
    <w:rsid w:val="757540E3"/>
    <w:rsid w:val="75912385"/>
    <w:rsid w:val="759345AF"/>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B0144"/>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 w:type="character" w:customStyle="1" w:styleId="96">
    <w:name w:val="ECC HL green"/>
    <w:basedOn w:val="26"/>
    <w:qFormat/>
    <w:uiPriority w:val="1"/>
    <w:rPr>
      <w:shd w:val="solid" w:color="92D050" w:fill="auto"/>
      <w:lang w:val="en-GB"/>
    </w:rPr>
  </w:style>
  <w:style w:type="character" w:customStyle="1" w:styleId="97">
    <w:name w:val="ECC HL yellow"/>
    <w:basedOn w:val="26"/>
    <w:qFormat/>
    <w:uiPriority w:val="1"/>
    <w:rPr>
      <w:rFonts w:eastAsia="Calibri"/>
      <w:szCs w:val="22"/>
      <w:shd w:val="solid" w:color="FFFF00" w:fill="auto"/>
      <w:lang w:val="en-GB"/>
    </w:rPr>
  </w:style>
  <w:style w:type="character" w:customStyle="1" w:styleId="98">
    <w:name w:val="ECC Paragraph"/>
    <w:basedOn w:val="26"/>
    <w:qFormat/>
    <w:uiPriority w:val="1"/>
    <w:rPr>
      <w:rFonts w:ascii="Arial" w:hAnsi="Arial"/>
      <w:sz w:val="20"/>
      <w:lang w:val="en-GB"/>
    </w:rPr>
  </w:style>
  <w:style w:type="paragraph" w:customStyle="1" w:styleId="99">
    <w:name w:val="ECC Bullets Lv2"/>
    <w:basedOn w:val="100"/>
    <w:qFormat/>
    <w:uiPriority w:val="0"/>
    <w:pPr>
      <w:tabs>
        <w:tab w:val="left" w:pos="340"/>
        <w:tab w:val="left" w:pos="680"/>
      </w:tabs>
      <w:ind w:left="680"/>
    </w:pPr>
  </w:style>
  <w:style w:type="paragraph" w:customStyle="1" w:styleId="100">
    <w:name w:val="ECC Bullets Lv1"/>
    <w:basedOn w:val="1"/>
    <w:qFormat/>
    <w:uiPriority w:val="0"/>
    <w:pPr>
      <w:numPr>
        <w:ilvl w:val="0"/>
        <w:numId w:val="2"/>
      </w:numPr>
      <w:tabs>
        <w:tab w:val="left" w:pos="340"/>
      </w:tabs>
      <w:spacing w:before="60" w:after="0"/>
      <w:ind w:left="340" w:hanging="340"/>
    </w:pPr>
  </w:style>
  <w:style w:type="paragraph" w:customStyle="1" w:styleId="101">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2023-08-11T06:58:22Z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2185E9ADAA724C1F967C6955D79C7F29</vt:lpwstr>
  </property>
</Properties>
</file>